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81E400">
      <w:pPr>
        <w:pStyle w:val="2"/>
        <w:pageBreakBefore w:val="0"/>
        <w:numPr>
          <w:ilvl w:val="0"/>
          <w:numId w:val="0"/>
        </w:numPr>
        <w:kinsoku/>
        <w:overflowPunct/>
        <w:topLinePunct w:val="0"/>
        <w:autoSpaceDE/>
        <w:autoSpaceDN/>
        <w:bidi w:val="0"/>
        <w:adjustRightInd w:val="0"/>
        <w:snapToGrid w:val="0"/>
        <w:spacing w:line="360" w:lineRule="auto"/>
        <w:ind w:leftChars="0"/>
        <w:jc w:val="center"/>
        <w:rPr>
          <w:rFonts w:hint="eastAsia"/>
          <w:highlight w:val="none"/>
          <w:lang w:val="zh-CN"/>
        </w:rPr>
      </w:pPr>
      <w:r>
        <w:rPr>
          <w:rFonts w:hint="eastAsia"/>
          <w:highlight w:val="none"/>
          <w:lang w:val="zh-CN"/>
        </w:rPr>
        <w:t>招标文件</w:t>
      </w:r>
    </w:p>
    <w:p w14:paraId="7983FC57">
      <w:pPr>
        <w:pStyle w:val="3"/>
        <w:pageBreakBefore w:val="0"/>
        <w:kinsoku/>
        <w:overflowPunct/>
        <w:topLinePunct w:val="0"/>
        <w:autoSpaceDE/>
        <w:autoSpaceDN/>
        <w:bidi w:val="0"/>
        <w:adjustRightInd w:val="0"/>
        <w:snapToGrid w:val="0"/>
        <w:spacing w:before="0" w:line="360" w:lineRule="auto"/>
        <w:ind w:left="0" w:right="0"/>
        <w:rPr>
          <w:rFonts w:hint="default" w:ascii="楷体" w:hAnsi="楷体" w:eastAsia="楷体" w:cs="楷体"/>
          <w:color w:val="auto"/>
          <w:sz w:val="21"/>
          <w:highlight w:val="none"/>
          <w:lang w:val="en-US"/>
        </w:rPr>
      </w:pPr>
      <w:r>
        <w:rPr>
          <w:rFonts w:hint="eastAsia" w:ascii="楷体" w:hAnsi="楷体" w:eastAsia="楷体" w:cs="楷体"/>
          <w:highlight w:val="none"/>
          <w:lang w:val="zh-CN" w:eastAsia="zh-CN"/>
        </w:rPr>
        <w:t>项目名称:</w:t>
      </w:r>
      <w:r>
        <w:rPr>
          <w:rFonts w:hint="eastAsia" w:ascii="楷体" w:hAnsi="楷体" w:eastAsia="楷体" w:cs="楷体"/>
          <w:highlight w:val="none"/>
          <w:lang w:val="en-US" w:eastAsia="zh-CN"/>
        </w:rPr>
        <w:t>江苏泽宇电力工程有限公司光伏发电40#项目预制管桩第三方检测机构招标</w:t>
      </w:r>
    </w:p>
    <w:p w14:paraId="4556ACA4">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left"/>
        <w:textAlignment w:val="auto"/>
        <w:rPr>
          <w:rFonts w:hint="default"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zh-CN" w:eastAsia="zh-CN" w:bidi="ar"/>
        </w:rPr>
        <w:t>招标编号:</w:t>
      </w:r>
      <w:r>
        <w:rPr>
          <w:rFonts w:hint="eastAsia" w:ascii="楷体" w:hAnsi="楷体" w:eastAsia="楷体" w:cs="楷体"/>
          <w:color w:val="auto"/>
          <w:kern w:val="0"/>
          <w:sz w:val="24"/>
          <w:szCs w:val="24"/>
          <w:highlight w:val="none"/>
          <w:lang w:val="en-US" w:eastAsia="zh-CN" w:bidi="ar"/>
        </w:rPr>
        <w:t>ZYGC-2026-033001</w:t>
      </w:r>
    </w:p>
    <w:p w14:paraId="139286C8">
      <w:pPr>
        <w:keepNext w:val="0"/>
        <w:keepLines w:val="0"/>
        <w:pageBreakBefore w:val="0"/>
        <w:widowControl/>
        <w:suppressLineNumbers w:val="0"/>
        <w:kinsoku/>
        <w:overflowPunct/>
        <w:topLinePunct w:val="0"/>
        <w:autoSpaceDE/>
        <w:autoSpaceDN/>
        <w:bidi w:val="0"/>
        <w:adjustRightInd w:val="0"/>
        <w:snapToGrid w:val="0"/>
        <w:spacing w:line="360" w:lineRule="auto"/>
        <w:ind w:left="0" w:right="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招标单位：江苏泽宇电力工程有限公司</w:t>
      </w:r>
    </w:p>
    <w:p w14:paraId="6C2E4215">
      <w:pPr>
        <w:keepNext w:val="0"/>
        <w:keepLines w:val="0"/>
        <w:pageBreakBefore w:val="0"/>
        <w:widowControl/>
        <w:suppressLineNumbers w:val="0"/>
        <w:kinsoku/>
        <w:overflowPunct/>
        <w:topLinePunct w:val="0"/>
        <w:autoSpaceDE/>
        <w:autoSpaceDN/>
        <w:bidi w:val="0"/>
        <w:adjustRightInd w:val="0"/>
        <w:snapToGrid w:val="0"/>
        <w:spacing w:line="360" w:lineRule="auto"/>
        <w:ind w:left="0" w:right="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二、项目概况与招标范围</w:t>
      </w:r>
    </w:p>
    <w:p w14:paraId="2D5AE75E">
      <w:pPr>
        <w:keepNext w:val="0"/>
        <w:keepLines w:val="0"/>
        <w:pageBreakBefore w:val="0"/>
        <w:widowControl/>
        <w:suppressLineNumbers w:val="0"/>
        <w:kinsoku/>
        <w:overflowPunct/>
        <w:topLinePunct w:val="0"/>
        <w:autoSpaceDE/>
        <w:autoSpaceDN/>
        <w:bidi w:val="0"/>
        <w:adjustRightInd w:val="0"/>
        <w:snapToGrid w:val="0"/>
        <w:spacing w:line="360" w:lineRule="auto"/>
        <w:ind w:left="0" w:right="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（一）项目概况</w:t>
      </w:r>
    </w:p>
    <w:p w14:paraId="674036F5">
      <w:pPr>
        <w:keepNext w:val="0"/>
        <w:keepLines w:val="0"/>
        <w:pageBreakBefore w:val="0"/>
        <w:widowControl/>
        <w:suppressLineNumbers w:val="0"/>
        <w:kinsoku/>
        <w:overflowPunct/>
        <w:topLinePunct w:val="0"/>
        <w:autoSpaceDE/>
        <w:autoSpaceDN/>
        <w:bidi w:val="0"/>
        <w:adjustRightInd w:val="0"/>
        <w:snapToGrid w:val="0"/>
        <w:spacing w:line="360" w:lineRule="auto"/>
        <w:ind w:left="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本项目位于江苏省溧阳市别桥镇。</w:t>
      </w:r>
    </w:p>
    <w:p w14:paraId="72F255BC">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rightChars="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（二）、招标范围</w:t>
      </w:r>
    </w:p>
    <w:p w14:paraId="49DD7646">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本工程范围为负责光伏区预制管桩区域内PHC管桩检测工作。</w:t>
      </w:r>
    </w:p>
    <w:p w14:paraId="6F190ED3">
      <w:pPr>
        <w:keepNext w:val="0"/>
        <w:keepLines w:val="0"/>
        <w:pageBreakBefore w:val="0"/>
        <w:widowControl/>
        <w:suppressLineNumbers w:val="0"/>
        <w:kinsoku/>
        <w:overflowPunct/>
        <w:topLinePunct w:val="0"/>
        <w:autoSpaceDE/>
        <w:autoSpaceDN/>
        <w:bidi w:val="0"/>
        <w:adjustRightInd w:val="0"/>
        <w:snapToGrid w:val="0"/>
        <w:spacing w:line="360" w:lineRule="auto"/>
        <w:ind w:left="0" w:right="0"/>
        <w:jc w:val="left"/>
        <w:rPr>
          <w:rFonts w:hint="eastAsia"/>
          <w:highlight w:val="none"/>
          <w:lang w:val="en-US" w:eastAsia="zh-CN"/>
        </w:rPr>
      </w:pPr>
      <w:r>
        <w:rPr>
          <w:rFonts w:hint="eastAsia" w:ascii="楷体" w:hAnsi="楷体" w:eastAsia="楷体" w:cs="楷体"/>
          <w:color w:val="auto"/>
          <w:kern w:val="0"/>
          <w:sz w:val="24"/>
          <w:szCs w:val="24"/>
          <w:highlight w:val="none"/>
          <w:lang w:val="en-US" w:eastAsia="zh-CN" w:bidi="ar"/>
        </w:rPr>
        <w:t>具体工作内容</w:t>
      </w:r>
      <w:r>
        <w:rPr>
          <w:rFonts w:hint="eastAsia" w:ascii="楷体" w:hAnsi="楷体" w:eastAsia="楷体" w:cs="楷体"/>
          <w:strike w:val="0"/>
          <w:dstrike w:val="0"/>
          <w:color w:val="auto"/>
          <w:kern w:val="0"/>
          <w:sz w:val="24"/>
          <w:szCs w:val="24"/>
          <w:highlight w:val="none"/>
          <w:lang w:val="en-US" w:eastAsia="zh-CN" w:bidi="ar"/>
        </w:rPr>
        <w:t>包括但不限于：</w:t>
      </w:r>
    </w:p>
    <w:p w14:paraId="24878CE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left="0" w:leftChars="0" w:right="0" w:rightChars="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default" w:ascii="楷体" w:hAnsi="楷体" w:eastAsia="楷体" w:cs="楷体"/>
          <w:color w:val="auto"/>
          <w:kern w:val="0"/>
          <w:sz w:val="24"/>
          <w:szCs w:val="24"/>
          <w:highlight w:val="none"/>
          <w:lang w:val="en-US" w:eastAsia="zh-CN" w:bidi="ar"/>
        </w:rPr>
        <w:t>1．</w:t>
      </w:r>
      <w:r>
        <w:rPr>
          <w:rFonts w:hint="eastAsia" w:ascii="楷体" w:hAnsi="楷体" w:eastAsia="楷体" w:cs="楷体"/>
          <w:color w:val="auto"/>
          <w:kern w:val="0"/>
          <w:sz w:val="24"/>
          <w:szCs w:val="24"/>
          <w:highlight w:val="none"/>
          <w:lang w:val="en-US" w:eastAsia="zh-CN" w:bidi="ar"/>
        </w:rPr>
        <w:t>本工程桩基检测工作内容：</w:t>
      </w:r>
    </w:p>
    <w:p w14:paraId="187A7A9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本工程桩基检测，需提供的主要成果单桩竖向抗压极限承载力Quk；单桩竖向抗拔极限承载力Tuk；单桩水平承载力极限值及地面处水平位移10mm对应的水平荷载；抗压静载试验的Q-s、s-lgt曲线；水平静载试验的水平力-力作用点位移(H-Y0)及水平力-位移梯度(H-ΔY0/ΔH)曲线；静载试验水平力-地基土水平抗力系数的比例系数曲线(H-m),水平力作用点位移-地基土水平抗力系数的比例系数曲线(Y0-m)；提供每根桩处土层剖面图（注明淤泥层厚度、水深），并明确标注加载点位置及所处场地位置。桩完成后需提交完整的检测报告，包括试验过程记录、数据分析及结论等。本项目除承载力检测外，必须进行桩身完整性检测。</w:t>
      </w:r>
    </w:p>
    <w:p w14:paraId="0971C9C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left="0" w:leftChars="0" w:right="0" w:rightChars="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default" w:ascii="楷体" w:hAnsi="楷体" w:eastAsia="楷体" w:cs="楷体"/>
          <w:color w:val="auto"/>
          <w:kern w:val="0"/>
          <w:sz w:val="24"/>
          <w:szCs w:val="24"/>
          <w:highlight w:val="none"/>
          <w:lang w:val="en-US" w:eastAsia="zh-CN" w:bidi="ar"/>
        </w:rPr>
        <w:t>2．</w:t>
      </w:r>
      <w:r>
        <w:rPr>
          <w:rFonts w:hint="eastAsia" w:ascii="楷体" w:hAnsi="楷体" w:eastAsia="楷体" w:cs="楷体"/>
          <w:color w:val="auto"/>
          <w:kern w:val="0"/>
          <w:sz w:val="24"/>
          <w:szCs w:val="24"/>
          <w:highlight w:val="none"/>
          <w:lang w:val="en-US" w:eastAsia="zh-CN" w:bidi="ar"/>
        </w:rPr>
        <w:t>本工程桩基材料检测工作内容：</w:t>
      </w:r>
    </w:p>
    <w:p w14:paraId="4AC4FEA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left="0" w:leftChars="0" w:right="0" w:rightChars="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核心检测内容包含：管桩抗弯性能试验、混凝土保护层厚度检测、外观质量检查、尺寸允许偏差实测、混凝土抗压强度（C80）检测；</w:t>
      </w:r>
    </w:p>
    <w:p w14:paraId="0A81B7E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3</w:t>
      </w:r>
      <w:r>
        <w:rPr>
          <w:rFonts w:hint="default" w:ascii="楷体" w:hAnsi="楷体" w:eastAsia="楷体" w:cs="楷体"/>
          <w:color w:val="auto"/>
          <w:kern w:val="0"/>
          <w:sz w:val="24"/>
          <w:szCs w:val="24"/>
          <w:highlight w:val="none"/>
          <w:lang w:val="en-US" w:eastAsia="zh-CN" w:bidi="ar"/>
        </w:rPr>
        <w:t>．</w:t>
      </w:r>
      <w:r>
        <w:rPr>
          <w:rFonts w:hint="eastAsia" w:ascii="楷体" w:hAnsi="楷体" w:eastAsia="楷体" w:cs="楷体"/>
          <w:color w:val="auto"/>
          <w:kern w:val="0"/>
          <w:sz w:val="24"/>
          <w:szCs w:val="24"/>
          <w:highlight w:val="none"/>
          <w:lang w:val="en-US" w:eastAsia="zh-CN" w:bidi="ar"/>
        </w:rPr>
        <w:t>送检及抽检规则要求：所有管桩检测抽检比例、取样方式、检验批划分，严格按照国家现行规范及甲方、监理单位要求执行；检测机构须具备相应资质并经甲方书面认可。</w:t>
      </w:r>
    </w:p>
    <w:p w14:paraId="6FA74C2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4</w:t>
      </w:r>
      <w:r>
        <w:rPr>
          <w:rFonts w:hint="default" w:ascii="楷体" w:hAnsi="楷体" w:eastAsia="楷体" w:cs="楷体"/>
          <w:color w:val="auto"/>
          <w:kern w:val="0"/>
          <w:sz w:val="24"/>
          <w:szCs w:val="24"/>
          <w:highlight w:val="none"/>
          <w:lang w:val="en-US" w:eastAsia="zh-CN" w:bidi="ar"/>
        </w:rPr>
        <w:t>．</w:t>
      </w:r>
      <w:r>
        <w:rPr>
          <w:rFonts w:hint="eastAsia" w:ascii="楷体" w:hAnsi="楷体" w:eastAsia="楷体" w:cs="楷体"/>
          <w:color w:val="auto"/>
          <w:kern w:val="0"/>
          <w:sz w:val="24"/>
          <w:szCs w:val="24"/>
          <w:highlight w:val="none"/>
          <w:lang w:val="en-US" w:eastAsia="zh-CN" w:bidi="ar"/>
        </w:rPr>
        <w:t>固定单价包含内容：本清单固定综合单价已包含检测人工费、设备进退场及使用费、现场取样费、试验费、报告编制费、安全文明施工措施费、绿色施工费、交通费、利润、增值税（6%）等完成全部检测工作的全部费用，无任何其他隐含费用；乙方需自行承担检测过程中的全部安全责任，严格按照现场安全规范及甲方要求作业。</w:t>
      </w:r>
    </w:p>
    <w:p w14:paraId="5A9DFA0F">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5</w:t>
      </w:r>
      <w:r>
        <w:rPr>
          <w:rFonts w:hint="default" w:ascii="楷体" w:hAnsi="楷体" w:eastAsia="楷体" w:cs="楷体"/>
          <w:color w:val="auto"/>
          <w:kern w:val="0"/>
          <w:sz w:val="24"/>
          <w:szCs w:val="24"/>
          <w:highlight w:val="none"/>
          <w:lang w:val="en-US" w:eastAsia="zh-CN" w:bidi="ar"/>
        </w:rPr>
        <w:t>．</w:t>
      </w:r>
      <w:r>
        <w:rPr>
          <w:rFonts w:hint="eastAsia" w:ascii="楷体" w:hAnsi="楷体" w:eastAsia="楷体" w:cs="楷体"/>
          <w:color w:val="auto"/>
          <w:kern w:val="0"/>
          <w:sz w:val="24"/>
          <w:szCs w:val="24"/>
          <w:highlight w:val="none"/>
          <w:lang w:val="en-US" w:eastAsia="zh-CN" w:bidi="ar"/>
        </w:rPr>
        <w:t>甲供材及权责说明：本项目检测主材为甲供材，乙方自行负责所有检测设备、取样工具及试验耗材，按规范完成全部检测工作，及时出具真实、合法、有效的正式检测报告，报告需满足项目竣工验收、备案及归档全部要求。</w:t>
      </w:r>
    </w:p>
    <w:p w14:paraId="74FAD35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6</w:t>
      </w:r>
      <w:r>
        <w:rPr>
          <w:rFonts w:hint="default" w:ascii="楷体" w:hAnsi="楷体" w:eastAsia="楷体" w:cs="楷体"/>
          <w:color w:val="auto"/>
          <w:kern w:val="0"/>
          <w:sz w:val="24"/>
          <w:szCs w:val="24"/>
          <w:highlight w:val="none"/>
          <w:lang w:val="en-US" w:eastAsia="zh-CN" w:bidi="ar"/>
        </w:rPr>
        <w:t>．</w:t>
      </w:r>
      <w:r>
        <w:rPr>
          <w:rFonts w:hint="eastAsia" w:ascii="楷体" w:hAnsi="楷体" w:eastAsia="楷体" w:cs="楷体"/>
          <w:color w:val="auto"/>
          <w:kern w:val="0"/>
          <w:sz w:val="24"/>
          <w:szCs w:val="24"/>
          <w:highlight w:val="none"/>
          <w:lang w:val="en-US" w:eastAsia="zh-CN" w:bidi="ar"/>
        </w:rPr>
        <w:t>规范符合性承诺：乙方承诺所有检测流程、取样标准、试验方法均符合国家、行业及地方现行相关标准规范《建筑基桩检测技术规范》（JGJ 106）的相关规定执行。因检测不符合规范导致的返工、整改及相关经济损失，全部由乙方自行承担。</w:t>
      </w:r>
    </w:p>
    <w:p w14:paraId="3D6815A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7</w:t>
      </w:r>
      <w:r>
        <w:rPr>
          <w:rFonts w:hint="default" w:ascii="楷体" w:hAnsi="楷体" w:eastAsia="楷体" w:cs="楷体"/>
          <w:color w:val="auto"/>
          <w:kern w:val="0"/>
          <w:sz w:val="24"/>
          <w:szCs w:val="24"/>
          <w:highlight w:val="none"/>
          <w:lang w:val="en-US" w:eastAsia="zh-CN" w:bidi="ar"/>
        </w:rPr>
        <w:t>．</w:t>
      </w:r>
      <w:r>
        <w:rPr>
          <w:rFonts w:hint="eastAsia" w:ascii="楷体" w:hAnsi="楷体" w:eastAsia="楷体" w:cs="楷体"/>
          <w:color w:val="auto"/>
          <w:kern w:val="0"/>
          <w:sz w:val="24"/>
          <w:szCs w:val="24"/>
          <w:highlight w:val="none"/>
          <w:lang w:val="en-US" w:eastAsia="zh-CN" w:bidi="ar"/>
        </w:rPr>
        <w:t>投标方被视为已自行评估现场工况，并已将其自行配备检测所需全部机械设备的费用包含在投标报价中。检测期间，若招标人现场自有或已进场施工单位的机械设备在工况许可、调度顺畅且不影响其他工序的前提下可供利用，投标方可无偿借用，但借用期间的安全操作及保管责任由投标方承担。若上述条件不满足，投标方须无条件自行调配机械设备进场，并承担由此产生的全部费用及工期责任，不得以此为由要求检测费用增加或工期顺延。</w:t>
      </w:r>
    </w:p>
    <w:p w14:paraId="762B50D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9</w:t>
      </w:r>
      <w:r>
        <w:rPr>
          <w:rFonts w:hint="default" w:ascii="楷体" w:hAnsi="楷体" w:eastAsia="楷体" w:cs="楷体"/>
          <w:color w:val="auto"/>
          <w:kern w:val="0"/>
          <w:sz w:val="24"/>
          <w:szCs w:val="24"/>
          <w:highlight w:val="none"/>
          <w:lang w:val="en-US" w:eastAsia="zh-CN" w:bidi="ar"/>
        </w:rPr>
        <w:t>．</w:t>
      </w:r>
      <w:r>
        <w:rPr>
          <w:rFonts w:hint="eastAsia" w:ascii="楷体" w:hAnsi="楷体" w:eastAsia="楷体" w:cs="楷体"/>
          <w:color w:val="auto"/>
          <w:kern w:val="0"/>
          <w:sz w:val="24"/>
          <w:szCs w:val="24"/>
          <w:highlight w:val="none"/>
          <w:lang w:val="en-US" w:eastAsia="zh-CN" w:bidi="ar"/>
        </w:rPr>
        <w:t>投标方人员进场检测时，须严格遵守招标方现场安全生产、文明施工、环保、门禁、扬尘治理等各项管理规定，服从现场统一指挥与协调，做好人员及设备安全防护，承担检测作业期间的全部安全管理责任。</w:t>
      </w:r>
    </w:p>
    <w:p w14:paraId="5B0AB15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10</w:t>
      </w:r>
      <w:r>
        <w:rPr>
          <w:rFonts w:hint="default" w:ascii="楷体" w:hAnsi="楷体" w:eastAsia="楷体" w:cs="楷体"/>
          <w:color w:val="auto"/>
          <w:kern w:val="0"/>
          <w:sz w:val="24"/>
          <w:szCs w:val="24"/>
          <w:highlight w:val="none"/>
          <w:lang w:val="en-US" w:eastAsia="zh-CN" w:bidi="ar"/>
        </w:rPr>
        <w:t>．</w:t>
      </w:r>
      <w:r>
        <w:rPr>
          <w:rFonts w:hint="eastAsia" w:ascii="楷体" w:hAnsi="楷体" w:eastAsia="楷体" w:cs="楷体"/>
          <w:color w:val="auto"/>
          <w:kern w:val="0"/>
          <w:sz w:val="24"/>
          <w:szCs w:val="24"/>
          <w:highlight w:val="none"/>
          <w:lang w:val="en-US" w:eastAsia="zh-CN" w:bidi="ar"/>
        </w:rPr>
        <w:t>工程量及结算规则：清单内预估工程量仅作为投标报价参考，不作为最终结算依据；最终结算工程量按乙方实际完成、且经甲方及监理单位验收合格的检测工程量核算，严格按照清单对应固定单价乘以实际工程量计算总价款。</w:t>
      </w:r>
    </w:p>
    <w:p w14:paraId="6DF0ED0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11</w:t>
      </w:r>
      <w:r>
        <w:rPr>
          <w:rFonts w:hint="default" w:ascii="楷体" w:hAnsi="楷体" w:eastAsia="楷体" w:cs="楷体"/>
          <w:color w:val="auto"/>
          <w:kern w:val="0"/>
          <w:sz w:val="24"/>
          <w:szCs w:val="24"/>
          <w:highlight w:val="none"/>
          <w:lang w:val="en-US" w:eastAsia="zh-CN" w:bidi="ar"/>
        </w:rPr>
        <w:t>．</w:t>
      </w:r>
      <w:r>
        <w:rPr>
          <w:rFonts w:hint="eastAsia" w:ascii="楷体" w:hAnsi="楷体" w:eastAsia="楷体" w:cs="楷体"/>
          <w:color w:val="auto"/>
          <w:kern w:val="0"/>
          <w:sz w:val="24"/>
          <w:szCs w:val="24"/>
          <w:highlight w:val="none"/>
          <w:lang w:val="en-US" w:eastAsia="zh-CN" w:bidi="ar"/>
        </w:rPr>
        <w:t>检测完成后，投标方须向甲方提交完整、规范的正式检测报告。报告应符合以下要求：</w:t>
      </w:r>
    </w:p>
    <w:p w14:paraId="4076941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（1）每份检测报告均须加盖投标方单位的检验检测机构资质认定章（CMA章）；</w:t>
      </w:r>
    </w:p>
    <w:p w14:paraId="4FA530F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（2）报告封面及检测结论页须由授权签字人签署姓名，并加盖投标方单位 公章 或 检测专用章；</w:t>
      </w:r>
    </w:p>
    <w:p w14:paraId="4468719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（3）报告内容及格式须满足国家、行业现行规范及工程所在地建设主管部门的竣工验收、备案及归档要求；</w:t>
      </w:r>
    </w:p>
    <w:p w14:paraId="2284B82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（4）若工程所在地或行业主管部门另有特殊盖章或备案要求的，投标方应无条件配合办理，相关费用已包含在合同总价中。</w:t>
      </w:r>
    </w:p>
    <w:p w14:paraId="08A1A51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投标方对检测报告的真实性、合法性、有效性承担全部法律责任。因报告不符合上述任一要求导致无法通过验收或备案的，视为投标方未完成检测工作，甲方有权拒付相应款项，并要求投标方承担返工及整改的全部费用。</w:t>
      </w:r>
    </w:p>
    <w:p w14:paraId="638DDEB9">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rightChars="0" w:firstLine="0" w:firstLineChars="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（三）报价方式</w:t>
      </w:r>
    </w:p>
    <w:p w14:paraId="6D532033">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default"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计价模式及报价范围：本项目检测服务采用固定单价计价，清单内所列单价为含税固定综合单价，涵盖本渔光互补项目光伏场区所有PHC预制管桩第三方检测工作，包含固定支架基础、箱变基础、水面围栏基础、桥架桩基础全部分部工程，该单价不因市场物价波动、政策调整、天气变化、现场条件变化、人工及材料成本涨跌等任何因素而调整，在合同履行期间保持完全不变。</w:t>
      </w:r>
    </w:p>
    <w:p w14:paraId="5C61D882">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rightChars="0" w:firstLine="0" w:firstLineChars="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（四）结算方式</w:t>
      </w:r>
    </w:p>
    <w:p w14:paraId="09B5B145">
      <w:pPr>
        <w:keepNext w:val="0"/>
        <w:keepLines w:val="0"/>
        <w:pageBreakBefore w:val="0"/>
        <w:widowControl/>
        <w:numPr>
          <w:ilvl w:val="0"/>
          <w:numId w:val="1"/>
        </w:numPr>
        <w:suppressLineNumbers w:val="0"/>
        <w:kinsoku/>
        <w:overflowPunct/>
        <w:topLinePunct w:val="0"/>
        <w:autoSpaceDE/>
        <w:autoSpaceDN/>
        <w:bidi w:val="0"/>
        <w:adjustRightInd w:val="0"/>
        <w:snapToGrid w:val="0"/>
        <w:spacing w:line="360" w:lineRule="auto"/>
        <w:ind w:left="0" w:leftChars="0" w:right="0" w:rightChars="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合同价格不应因任何原因进行调整。</w:t>
      </w:r>
    </w:p>
    <w:p w14:paraId="588CEEBC">
      <w:pPr>
        <w:keepNext w:val="0"/>
        <w:keepLines w:val="0"/>
        <w:pageBreakBefore w:val="0"/>
        <w:widowControl/>
        <w:numPr>
          <w:ilvl w:val="0"/>
          <w:numId w:val="1"/>
        </w:numPr>
        <w:suppressLineNumbers w:val="0"/>
        <w:kinsoku/>
        <w:overflowPunct/>
        <w:topLinePunct w:val="0"/>
        <w:autoSpaceDE/>
        <w:autoSpaceDN/>
        <w:bidi w:val="0"/>
        <w:adjustRightInd w:val="0"/>
        <w:snapToGrid w:val="0"/>
        <w:spacing w:line="360" w:lineRule="auto"/>
        <w:ind w:left="0" w:leftChars="0" w:right="0" w:rightChars="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 xml:space="preserve">履约保证金：投标人应提交合同含税金额 </w:t>
      </w:r>
      <w:r>
        <w:rPr>
          <w:rFonts w:hint="eastAsia" w:ascii="楷体" w:hAnsi="楷体" w:eastAsia="楷体" w:cs="楷体"/>
          <w:color w:val="auto"/>
          <w:kern w:val="0"/>
          <w:sz w:val="24"/>
          <w:szCs w:val="24"/>
          <w:highlight w:val="none"/>
          <w:u w:val="single"/>
          <w:lang w:val="en-US" w:eastAsia="zh-CN" w:bidi="ar"/>
        </w:rPr>
        <w:t xml:space="preserve"> \  </w:t>
      </w:r>
      <w:r>
        <w:rPr>
          <w:rFonts w:hint="eastAsia" w:ascii="楷体" w:hAnsi="楷体" w:eastAsia="楷体" w:cs="楷体"/>
          <w:color w:val="auto"/>
          <w:kern w:val="0"/>
          <w:sz w:val="24"/>
          <w:szCs w:val="24"/>
          <w:highlight w:val="none"/>
          <w:lang w:val="en-US" w:eastAsia="zh-CN" w:bidi="ar"/>
        </w:rPr>
        <w:t xml:space="preserve"> %作为履约保证金</w:t>
      </w:r>
    </w:p>
    <w:p w14:paraId="198B6AE2">
      <w:pPr>
        <w:keepNext w:val="0"/>
        <w:keepLines w:val="0"/>
        <w:pageBreakBefore w:val="0"/>
        <w:widowControl/>
        <w:numPr>
          <w:ilvl w:val="0"/>
          <w:numId w:val="1"/>
        </w:numPr>
        <w:suppressLineNumbers w:val="0"/>
        <w:kinsoku/>
        <w:overflowPunct/>
        <w:topLinePunct w:val="0"/>
        <w:autoSpaceDE/>
        <w:autoSpaceDN/>
        <w:bidi w:val="0"/>
        <w:adjustRightInd w:val="0"/>
        <w:snapToGrid w:val="0"/>
        <w:spacing w:line="360" w:lineRule="auto"/>
        <w:ind w:left="0" w:leftChars="0" w:right="0" w:rightChars="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预付款：无</w:t>
      </w:r>
    </w:p>
    <w:p w14:paraId="112F14CF">
      <w:pPr>
        <w:keepNext w:val="0"/>
        <w:keepLines w:val="0"/>
        <w:pageBreakBefore w:val="0"/>
        <w:widowControl/>
        <w:numPr>
          <w:ilvl w:val="0"/>
          <w:numId w:val="1"/>
        </w:numPr>
        <w:suppressLineNumbers w:val="0"/>
        <w:kinsoku/>
        <w:overflowPunct/>
        <w:topLinePunct w:val="0"/>
        <w:autoSpaceDE/>
        <w:autoSpaceDN/>
        <w:bidi w:val="0"/>
        <w:adjustRightInd w:val="0"/>
        <w:snapToGrid w:val="0"/>
        <w:spacing w:line="360" w:lineRule="auto"/>
        <w:ind w:left="0" w:leftChars="0" w:right="0" w:rightChars="0" w:firstLine="480" w:firstLineChars="200"/>
        <w:jc w:val="left"/>
        <w:textAlignment w:val="auto"/>
        <w:rPr>
          <w:rFonts w:hint="default"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乙方完成本合同约定的全部现场检测工作，提交完整、合格的现场检测报告，并经业主、监理及相关部门检查验收符合要求后，支付至合同价的 80%。；乙方完成本合同项下全部检测服务并出具最终正式检测报告，且经业主、监理及相关部门审核确认合格、项目完成最终结算审核后，支付至结算金额的 97%；剩余 3% 作为质量保证金，待项目整体（或主合同工程）缺陷责任期满后无息结清</w:t>
      </w:r>
      <w:r>
        <w:rPr>
          <w:rFonts w:hint="eastAsia" w:ascii="楷体" w:hAnsi="楷体" w:eastAsia="楷体" w:cs="楷体"/>
          <w:color w:val="000000"/>
          <w:kern w:val="0"/>
          <w:sz w:val="24"/>
          <w:szCs w:val="24"/>
          <w:highlight w:val="none"/>
          <w:lang w:val="en-US" w:eastAsia="zh-CN" w:bidi="ar"/>
        </w:rPr>
        <w:t>。</w:t>
      </w:r>
    </w:p>
    <w:p w14:paraId="21D6C84B">
      <w:pPr>
        <w:keepNext w:val="0"/>
        <w:keepLines w:val="0"/>
        <w:pageBreakBefore w:val="0"/>
        <w:widowControl/>
        <w:numPr>
          <w:ilvl w:val="0"/>
          <w:numId w:val="1"/>
        </w:numPr>
        <w:suppressLineNumbers w:val="0"/>
        <w:kinsoku/>
        <w:overflowPunct/>
        <w:topLinePunct w:val="0"/>
        <w:autoSpaceDE/>
        <w:autoSpaceDN/>
        <w:bidi w:val="0"/>
        <w:adjustRightInd w:val="0"/>
        <w:snapToGrid w:val="0"/>
        <w:spacing w:line="360" w:lineRule="auto"/>
        <w:ind w:left="0" w:leftChars="0" w:right="0" w:rightChars="0" w:firstLine="480" w:firstLineChars="200"/>
        <w:jc w:val="left"/>
        <w:textAlignment w:val="auto"/>
        <w:rPr>
          <w:rFonts w:hint="default"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工程进度款方式:检测进度款按批次或按双方约定的结算节点申请支付。投标人应在满足付款条件后 7个工作日 内，向招标人提交请款报告及相应金额的合格增值税专用发票。招标人在收到完整请款资料及发票后 30个工作日 内完成审核并支付</w:t>
      </w:r>
      <w:r>
        <w:rPr>
          <w:rFonts w:hint="default" w:ascii="楷体" w:hAnsi="楷体" w:eastAsia="楷体" w:cs="楷体"/>
          <w:color w:val="auto"/>
          <w:kern w:val="0"/>
          <w:sz w:val="24"/>
          <w:szCs w:val="24"/>
          <w:highlight w:val="none"/>
          <w:lang w:val="en-US" w:eastAsia="zh-CN" w:bidi="ar"/>
        </w:rPr>
        <w:t>。</w:t>
      </w:r>
    </w:p>
    <w:p w14:paraId="3D7C69D7">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right="0" w:rightChars="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（五）招评标办法：最低价中标法，详见附件二</w:t>
      </w:r>
    </w:p>
    <w:p w14:paraId="69D099E4">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rightChars="0" w:firstLine="0" w:firstLineChars="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（六）资格审查方式：资格后审</w:t>
      </w:r>
    </w:p>
    <w:p w14:paraId="292EE3C4">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三、工期</w:t>
      </w:r>
    </w:p>
    <w:p w14:paraId="1FEEB3A1">
      <w:pPr>
        <w:pStyle w:val="5"/>
        <w:pageBreakBefore w:val="0"/>
        <w:kinsoku/>
        <w:overflowPunct/>
        <w:topLinePunct w:val="0"/>
        <w:autoSpaceDE/>
        <w:autoSpaceDN/>
        <w:bidi w:val="0"/>
        <w:adjustRightInd w:val="0"/>
        <w:snapToGrid w:val="0"/>
        <w:spacing w:after="0" w:line="360" w:lineRule="auto"/>
        <w:ind w:left="0" w:right="0" w:firstLine="480" w:firstLineChars="200"/>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计划日期：2026年4月1日-2026年7月31日。检测工作时段：检测服务期限随桩基工程进度同步调整，具体以甲方通知为准，工期顺延不增加费用。</w:t>
      </w:r>
    </w:p>
    <w:p w14:paraId="404EC79F">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四、施工地点</w:t>
      </w:r>
    </w:p>
    <w:p w14:paraId="4CBC678F">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本项目位于江苏省溧阳市别桥镇。</w:t>
      </w:r>
    </w:p>
    <w:p w14:paraId="3C6B9901">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五、检测报告质量要求</w:t>
      </w:r>
    </w:p>
    <w:p w14:paraId="28962B02">
      <w:pPr>
        <w:pStyle w:val="5"/>
        <w:pageBreakBefore w:val="0"/>
        <w:kinsoku/>
        <w:overflowPunct/>
        <w:topLinePunct w:val="0"/>
        <w:autoSpaceDE/>
        <w:autoSpaceDN/>
        <w:bidi w:val="0"/>
        <w:adjustRightInd w:val="0"/>
        <w:snapToGrid w:val="0"/>
        <w:spacing w:after="0" w:line="360" w:lineRule="auto"/>
        <w:ind w:left="0" w:right="0" w:firstLine="480" w:firstLineChars="200"/>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检测机构应具备相应资质且在有效期内，出具的检测报告应满足国家现行规范及工程建设标准的要求。</w:t>
      </w:r>
    </w:p>
    <w:p w14:paraId="7A998DC5">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六、投标人注意事项</w:t>
      </w:r>
    </w:p>
    <w:p w14:paraId="12EBB305">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1.投标人为中华人民共和国境内合法注册的独立企业法人或其他组织，具有独立承担民事责任能力，具有独立订立合同的权利。</w:t>
      </w:r>
    </w:p>
    <w:p w14:paraId="1502C1FA">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2.投标人没有处于被责令停产、停业或进入破产程序，且资产未被重组、接管和冻结，也未被司法机关采取财产保全或强制执行措施。</w:t>
      </w:r>
    </w:p>
    <w:p w14:paraId="383A37E9">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3.投标人没有处于行政主管部门或招标人相关文件确认的禁止投标的处罚期间内。</w:t>
      </w:r>
    </w:p>
    <w:p w14:paraId="44F97E6D">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4.与招标人存在利害关系可能影响招标公正性的法人、其他组织或者个人，不得参加投标。单位负责人为同一人或者存在控股、管理关系的不同单位，不得参加同一标段投标或者未划分标段的同一招标项目投标。</w:t>
      </w:r>
    </w:p>
    <w:p w14:paraId="4F990782">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5.投标人不得被市场监督管理机关在全国企业信用信息公示系统（http://www.gsxt.gov.cn）中列入严重违法失信企业名单（在评标期间尚未解除的）。</w:t>
      </w:r>
    </w:p>
    <w:p w14:paraId="6BE2CE31">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6.投标人不得被“信用中国”网站（www.creditchina.gov.cn）列入“失信被执行人名单”（在评标期间尚未解除的）。</w:t>
      </w:r>
    </w:p>
    <w:p w14:paraId="2CF67EB9">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7.投标人不得被国家应急管理部（www.mem.gov.cn）列入安全生产失信联合惩戒“黑名单”名单（在评标期间尚未解除的）。</w:t>
      </w:r>
    </w:p>
    <w:p w14:paraId="4CED316F">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8.本项目严禁任何形式的分包行为。投标人应独立完成本项目的全部工作内容，不得将项目的任何部分分包给其他单位或个人，如发现项目过程中存在分包行为，招标人有权采取包括但不限于终止合同、追究违约责任等措施。</w:t>
      </w:r>
    </w:p>
    <w:p w14:paraId="5EA76862">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9.资质等级要求：若中标人在投标时提供的资质文件被证实不符合招标文件实质性要求或存在弄虚作假，招标人有权依法取消其中标资格或解除合同。</w:t>
      </w:r>
    </w:p>
    <w:p w14:paraId="245A9755">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10.业绩要求：投标人自2022年至投标截止日，至少具有3个及同类型项目光伏项目桩基检测业绩，需提供业绩合同扫描件（每个扫描件均应包括合同封面、合同范围、签字盖章页、结算发票等主要内容，否则按无效业绩处理），按下表格式填写：</w:t>
      </w:r>
    </w:p>
    <w:p w14:paraId="6356A40C">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center"/>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（公司）近四年业绩表</w:t>
      </w:r>
    </w:p>
    <w:tbl>
      <w:tblPr>
        <w:tblStyle w:val="14"/>
        <w:tblW w:w="8531"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00"/>
        <w:gridCol w:w="1645"/>
        <w:gridCol w:w="1419"/>
        <w:gridCol w:w="1565"/>
        <w:gridCol w:w="1276"/>
        <w:gridCol w:w="1426"/>
      </w:tblGrid>
      <w:tr w14:paraId="00F99A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2" w:hRule="atLeast"/>
        </w:trPr>
        <w:tc>
          <w:tcPr>
            <w:tcW w:w="1200" w:type="dxa"/>
            <w:vAlign w:val="top"/>
          </w:tcPr>
          <w:p w14:paraId="08E224E9">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序号</w:t>
            </w:r>
          </w:p>
        </w:tc>
        <w:tc>
          <w:tcPr>
            <w:tcW w:w="1645" w:type="dxa"/>
            <w:vAlign w:val="top"/>
          </w:tcPr>
          <w:p w14:paraId="2B29758B">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center"/>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工程名称</w:t>
            </w:r>
          </w:p>
        </w:tc>
        <w:tc>
          <w:tcPr>
            <w:tcW w:w="1419" w:type="dxa"/>
            <w:vAlign w:val="top"/>
          </w:tcPr>
          <w:p w14:paraId="0BB30400">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center"/>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项目容量</w:t>
            </w:r>
          </w:p>
        </w:tc>
        <w:tc>
          <w:tcPr>
            <w:tcW w:w="1565" w:type="dxa"/>
            <w:vAlign w:val="top"/>
          </w:tcPr>
          <w:p w14:paraId="70A7E602">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center"/>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主要工作内容</w:t>
            </w:r>
          </w:p>
        </w:tc>
        <w:tc>
          <w:tcPr>
            <w:tcW w:w="1276" w:type="dxa"/>
            <w:vAlign w:val="top"/>
          </w:tcPr>
          <w:p w14:paraId="1E4E73AE">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center"/>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奖惩情况</w:t>
            </w:r>
          </w:p>
        </w:tc>
        <w:tc>
          <w:tcPr>
            <w:tcW w:w="1426" w:type="dxa"/>
            <w:vAlign w:val="top"/>
          </w:tcPr>
          <w:p w14:paraId="3E015452">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center"/>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证明文件</w:t>
            </w:r>
          </w:p>
        </w:tc>
      </w:tr>
      <w:tr w14:paraId="75FF8E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3" w:hRule="atLeast"/>
        </w:trPr>
        <w:tc>
          <w:tcPr>
            <w:tcW w:w="1200" w:type="dxa"/>
            <w:vAlign w:val="top"/>
          </w:tcPr>
          <w:p w14:paraId="7E6E4FEA">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1</w:t>
            </w:r>
          </w:p>
        </w:tc>
        <w:tc>
          <w:tcPr>
            <w:tcW w:w="1645" w:type="dxa"/>
            <w:vAlign w:val="top"/>
          </w:tcPr>
          <w:p w14:paraId="6DF34113">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c>
          <w:tcPr>
            <w:tcW w:w="1419" w:type="dxa"/>
            <w:vAlign w:val="top"/>
          </w:tcPr>
          <w:p w14:paraId="6D472FA5">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c>
          <w:tcPr>
            <w:tcW w:w="1565" w:type="dxa"/>
            <w:vAlign w:val="top"/>
          </w:tcPr>
          <w:p w14:paraId="6BB27A97">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c>
          <w:tcPr>
            <w:tcW w:w="1276" w:type="dxa"/>
            <w:vAlign w:val="top"/>
          </w:tcPr>
          <w:p w14:paraId="1F5399E9">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c>
          <w:tcPr>
            <w:tcW w:w="1426" w:type="dxa"/>
            <w:vAlign w:val="top"/>
          </w:tcPr>
          <w:p w14:paraId="0F62E350">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r>
      <w:tr w14:paraId="1779A3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1200" w:type="dxa"/>
            <w:vAlign w:val="top"/>
          </w:tcPr>
          <w:p w14:paraId="65154FDA">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w:t>
            </w:r>
          </w:p>
        </w:tc>
        <w:tc>
          <w:tcPr>
            <w:tcW w:w="1645" w:type="dxa"/>
            <w:vAlign w:val="top"/>
          </w:tcPr>
          <w:p w14:paraId="56FE36EC">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c>
          <w:tcPr>
            <w:tcW w:w="1419" w:type="dxa"/>
            <w:vAlign w:val="top"/>
          </w:tcPr>
          <w:p w14:paraId="05E3EC7A">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c>
          <w:tcPr>
            <w:tcW w:w="1565" w:type="dxa"/>
            <w:vAlign w:val="top"/>
          </w:tcPr>
          <w:p w14:paraId="49977060">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c>
          <w:tcPr>
            <w:tcW w:w="1276" w:type="dxa"/>
            <w:vAlign w:val="top"/>
          </w:tcPr>
          <w:p w14:paraId="6B503D2D">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c>
          <w:tcPr>
            <w:tcW w:w="1426" w:type="dxa"/>
            <w:vAlign w:val="top"/>
          </w:tcPr>
          <w:p w14:paraId="481522FF">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r>
      <w:tr w14:paraId="1E2EF9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1200" w:type="dxa"/>
            <w:vAlign w:val="top"/>
          </w:tcPr>
          <w:p w14:paraId="43CC96D1">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n</w:t>
            </w:r>
          </w:p>
        </w:tc>
        <w:tc>
          <w:tcPr>
            <w:tcW w:w="1645" w:type="dxa"/>
            <w:vAlign w:val="top"/>
          </w:tcPr>
          <w:p w14:paraId="5D56DF18">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c>
          <w:tcPr>
            <w:tcW w:w="1419" w:type="dxa"/>
            <w:vAlign w:val="top"/>
          </w:tcPr>
          <w:p w14:paraId="77B53715">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c>
          <w:tcPr>
            <w:tcW w:w="1565" w:type="dxa"/>
            <w:vAlign w:val="top"/>
          </w:tcPr>
          <w:p w14:paraId="51AA6C41">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c>
          <w:tcPr>
            <w:tcW w:w="1276" w:type="dxa"/>
            <w:vAlign w:val="top"/>
          </w:tcPr>
          <w:p w14:paraId="252BB07E">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c>
          <w:tcPr>
            <w:tcW w:w="1426" w:type="dxa"/>
            <w:vAlign w:val="top"/>
          </w:tcPr>
          <w:p w14:paraId="400C72F9">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r>
    </w:tbl>
    <w:p w14:paraId="5D39542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157" w:beforeLines="50" w:line="360" w:lineRule="auto"/>
        <w:ind w:left="0" w:leftChars="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备注：需提供合同扫描件、竣工验收合格证书及质量保修证书等证明文件。</w:t>
      </w:r>
    </w:p>
    <w:p w14:paraId="0B1487BC">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11.施工现场负责人及作业人员：投标单位投标时须提供计划在本项目安排的施工现场负责人及作业人员的名单，以及人员的资质证书、意外险投保证明文件。施工现场负责人须经甲方考核通过上岗，非特殊原因不得更换，施工现场负责人离开岗位，应事先通知甲方，并征得甲方的同意。投标人更换施工现场负责人时，应提前7天通知甲方，并征得甲方同意，新上任的施工现场负责人应重新进行考核上岗。施工现场负责人具备从2022年至投标截止日至少担任过1个及同类型工程施工现场负责人业绩经历；</w:t>
      </w:r>
    </w:p>
    <w:p w14:paraId="6D199920">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12.本项目安排的施工现场负责人及作业人员的名单按下表格式填写：</w:t>
      </w:r>
    </w:p>
    <w:p w14:paraId="2F41604A">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ab/>
      </w:r>
      <w:r>
        <w:rPr>
          <w:rFonts w:hint="eastAsia" w:ascii="楷体" w:hAnsi="楷体" w:eastAsia="楷体" w:cs="楷体"/>
          <w:color w:val="auto"/>
          <w:kern w:val="0"/>
          <w:sz w:val="24"/>
          <w:szCs w:val="24"/>
          <w:highlight w:val="none"/>
          <w:lang w:val="en-US" w:eastAsia="zh-CN" w:bidi="ar"/>
        </w:rPr>
        <w:t>（公司）拟安排施工现场负责人及作业人员名单</w:t>
      </w:r>
    </w:p>
    <w:tbl>
      <w:tblPr>
        <w:tblStyle w:val="14"/>
        <w:tblW w:w="850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20"/>
        <w:gridCol w:w="1215"/>
        <w:gridCol w:w="1213"/>
        <w:gridCol w:w="1213"/>
        <w:gridCol w:w="1213"/>
        <w:gridCol w:w="1215"/>
        <w:gridCol w:w="1220"/>
      </w:tblGrid>
      <w:tr w14:paraId="2CA5AE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8" w:hRule="atLeast"/>
        </w:trPr>
        <w:tc>
          <w:tcPr>
            <w:tcW w:w="1220" w:type="dxa"/>
            <w:vAlign w:val="center"/>
          </w:tcPr>
          <w:p w14:paraId="00F74D83">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center"/>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序号</w:t>
            </w:r>
          </w:p>
        </w:tc>
        <w:tc>
          <w:tcPr>
            <w:tcW w:w="1215" w:type="dxa"/>
            <w:vAlign w:val="center"/>
          </w:tcPr>
          <w:p w14:paraId="245526E6">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center"/>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姓名</w:t>
            </w:r>
          </w:p>
        </w:tc>
        <w:tc>
          <w:tcPr>
            <w:tcW w:w="1213" w:type="dxa"/>
            <w:vAlign w:val="center"/>
          </w:tcPr>
          <w:p w14:paraId="0F0E15B5">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center"/>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工种</w:t>
            </w:r>
          </w:p>
        </w:tc>
        <w:tc>
          <w:tcPr>
            <w:tcW w:w="1213" w:type="dxa"/>
            <w:vAlign w:val="center"/>
          </w:tcPr>
          <w:p w14:paraId="0CB040D9">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center"/>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证书名称</w:t>
            </w:r>
          </w:p>
        </w:tc>
        <w:tc>
          <w:tcPr>
            <w:tcW w:w="1213" w:type="dxa"/>
            <w:vAlign w:val="center"/>
          </w:tcPr>
          <w:p w14:paraId="36DA39F4">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center"/>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专业</w:t>
            </w:r>
          </w:p>
        </w:tc>
        <w:tc>
          <w:tcPr>
            <w:tcW w:w="1215" w:type="dxa"/>
            <w:vAlign w:val="center"/>
          </w:tcPr>
          <w:p w14:paraId="7E668315">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center"/>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证号</w:t>
            </w:r>
          </w:p>
        </w:tc>
        <w:tc>
          <w:tcPr>
            <w:tcW w:w="1220" w:type="dxa"/>
            <w:vAlign w:val="center"/>
          </w:tcPr>
          <w:p w14:paraId="00013873">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center"/>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意外险投保情况</w:t>
            </w:r>
          </w:p>
        </w:tc>
      </w:tr>
      <w:tr w14:paraId="01003D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6" w:hRule="atLeast"/>
        </w:trPr>
        <w:tc>
          <w:tcPr>
            <w:tcW w:w="1220" w:type="dxa"/>
            <w:vAlign w:val="center"/>
          </w:tcPr>
          <w:p w14:paraId="70307832">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1</w:t>
            </w:r>
          </w:p>
        </w:tc>
        <w:tc>
          <w:tcPr>
            <w:tcW w:w="1215" w:type="dxa"/>
            <w:vAlign w:val="center"/>
          </w:tcPr>
          <w:p w14:paraId="0F8AC611">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c>
          <w:tcPr>
            <w:tcW w:w="1213" w:type="dxa"/>
            <w:vAlign w:val="center"/>
          </w:tcPr>
          <w:p w14:paraId="5CA9697C">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c>
          <w:tcPr>
            <w:tcW w:w="1213" w:type="dxa"/>
            <w:vAlign w:val="center"/>
          </w:tcPr>
          <w:p w14:paraId="1E590F3B">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c>
          <w:tcPr>
            <w:tcW w:w="1213" w:type="dxa"/>
            <w:vAlign w:val="center"/>
          </w:tcPr>
          <w:p w14:paraId="59CAF63E">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c>
          <w:tcPr>
            <w:tcW w:w="1215" w:type="dxa"/>
            <w:vAlign w:val="center"/>
          </w:tcPr>
          <w:p w14:paraId="6A7AEC26">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c>
          <w:tcPr>
            <w:tcW w:w="1220" w:type="dxa"/>
            <w:vAlign w:val="center"/>
          </w:tcPr>
          <w:p w14:paraId="1529EC2D">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r>
      <w:tr w14:paraId="53A7BF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1" w:hRule="atLeast"/>
        </w:trPr>
        <w:tc>
          <w:tcPr>
            <w:tcW w:w="1220" w:type="dxa"/>
            <w:vAlign w:val="center"/>
          </w:tcPr>
          <w:p w14:paraId="29C60CB7">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w:t>
            </w:r>
          </w:p>
        </w:tc>
        <w:tc>
          <w:tcPr>
            <w:tcW w:w="1215" w:type="dxa"/>
            <w:vAlign w:val="center"/>
          </w:tcPr>
          <w:p w14:paraId="7C57414B">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c>
          <w:tcPr>
            <w:tcW w:w="1213" w:type="dxa"/>
            <w:vAlign w:val="center"/>
          </w:tcPr>
          <w:p w14:paraId="53C262EA">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c>
          <w:tcPr>
            <w:tcW w:w="1213" w:type="dxa"/>
            <w:vAlign w:val="center"/>
          </w:tcPr>
          <w:p w14:paraId="2AFDBCAB">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c>
          <w:tcPr>
            <w:tcW w:w="1213" w:type="dxa"/>
            <w:vAlign w:val="center"/>
          </w:tcPr>
          <w:p w14:paraId="29AF4DDF">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c>
          <w:tcPr>
            <w:tcW w:w="1215" w:type="dxa"/>
            <w:vAlign w:val="center"/>
          </w:tcPr>
          <w:p w14:paraId="2F6E65F0">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c>
          <w:tcPr>
            <w:tcW w:w="1220" w:type="dxa"/>
            <w:vAlign w:val="center"/>
          </w:tcPr>
          <w:p w14:paraId="01A072EE">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r>
      <w:tr w14:paraId="4D9F1C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1220" w:type="dxa"/>
            <w:vAlign w:val="center"/>
          </w:tcPr>
          <w:p w14:paraId="0B348421">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n</w:t>
            </w:r>
          </w:p>
        </w:tc>
        <w:tc>
          <w:tcPr>
            <w:tcW w:w="1215" w:type="dxa"/>
            <w:vAlign w:val="center"/>
          </w:tcPr>
          <w:p w14:paraId="2722DC09">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c>
          <w:tcPr>
            <w:tcW w:w="1213" w:type="dxa"/>
            <w:vAlign w:val="center"/>
          </w:tcPr>
          <w:p w14:paraId="25464062">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c>
          <w:tcPr>
            <w:tcW w:w="1213" w:type="dxa"/>
            <w:vAlign w:val="center"/>
          </w:tcPr>
          <w:p w14:paraId="64C79A63">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c>
          <w:tcPr>
            <w:tcW w:w="1213" w:type="dxa"/>
            <w:vAlign w:val="center"/>
          </w:tcPr>
          <w:p w14:paraId="65F7F99A">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c>
          <w:tcPr>
            <w:tcW w:w="1215" w:type="dxa"/>
            <w:vAlign w:val="center"/>
          </w:tcPr>
          <w:p w14:paraId="3E36F1A8">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c>
          <w:tcPr>
            <w:tcW w:w="1220" w:type="dxa"/>
            <w:vAlign w:val="center"/>
          </w:tcPr>
          <w:p w14:paraId="44A5C98F">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center"/>
              <w:textAlignment w:val="auto"/>
              <w:rPr>
                <w:rFonts w:hint="eastAsia" w:ascii="楷体" w:hAnsi="楷体" w:eastAsia="楷体" w:cs="楷体"/>
                <w:color w:val="auto"/>
                <w:kern w:val="0"/>
                <w:sz w:val="24"/>
                <w:szCs w:val="24"/>
                <w:highlight w:val="none"/>
                <w:lang w:val="en-US" w:eastAsia="zh-CN" w:bidi="ar"/>
              </w:rPr>
            </w:pPr>
          </w:p>
        </w:tc>
      </w:tr>
    </w:tbl>
    <w:p w14:paraId="2F835795">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13.本项目不接受联合体投标。</w:t>
      </w:r>
    </w:p>
    <w:p w14:paraId="370AD034">
      <w:pPr>
        <w:keepNext w:val="0"/>
        <w:keepLines w:val="0"/>
        <w:pageBreakBefore w:val="0"/>
        <w:widowControl/>
        <w:numPr>
          <w:ilvl w:val="0"/>
          <w:numId w:val="2"/>
        </w:numPr>
        <w:suppressLineNumbers w:val="0"/>
        <w:shd w:val="clear" w:fill="FFFFFF"/>
        <w:kinsoku/>
        <w:wordWrap w:val="0"/>
        <w:overflowPunct/>
        <w:topLinePunct w:val="0"/>
        <w:autoSpaceDE/>
        <w:autoSpaceDN/>
        <w:bidi w:val="0"/>
        <w:adjustRightInd w:val="0"/>
        <w:snapToGrid w:val="0"/>
        <w:spacing w:line="360" w:lineRule="auto"/>
        <w:ind w:left="0" w:right="0" w:firstLine="0"/>
        <w:jc w:val="left"/>
        <w:rPr>
          <w:rFonts w:hint="eastAsia" w:ascii="楷体" w:hAnsi="楷体" w:eastAsia="楷体" w:cs="楷体"/>
          <w:i w:val="0"/>
          <w:iCs w:val="0"/>
          <w:caps w:val="0"/>
          <w:color w:val="auto"/>
          <w:spacing w:val="0"/>
          <w:sz w:val="24"/>
          <w:szCs w:val="24"/>
          <w:highlight w:val="none"/>
        </w:rPr>
      </w:pPr>
      <w:r>
        <w:rPr>
          <w:rFonts w:hint="eastAsia" w:ascii="楷体" w:hAnsi="楷体" w:eastAsia="楷体" w:cs="楷体"/>
          <w:i w:val="0"/>
          <w:iCs w:val="0"/>
          <w:caps w:val="0"/>
          <w:color w:val="auto"/>
          <w:spacing w:val="0"/>
          <w:kern w:val="0"/>
          <w:sz w:val="24"/>
          <w:szCs w:val="24"/>
          <w:highlight w:val="none"/>
          <w:shd w:val="clear" w:fill="FFFFFF"/>
          <w:lang w:val="en-US" w:eastAsia="zh-CN" w:bidi="ar"/>
        </w:rPr>
        <w:t>信誉要求：</w:t>
      </w:r>
    </w:p>
    <w:p w14:paraId="799B5314">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（1）投标人未列入信用中国（https://www.creditchina.gov.cn/）严重失信名单或失信惩戒对象；</w:t>
      </w:r>
    </w:p>
    <w:p w14:paraId="66B240AD">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（2）投标人未列入中国执行信息公开网（http://zxgk.court.gov.cn/）失信被执行人名单；</w:t>
      </w:r>
    </w:p>
    <w:p w14:paraId="5B8086C9">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（3）投标人未列入国家企业信用信息公示系统（https://www.gsxt.gov.cn/）严重违法失信名单（黑名单）；</w:t>
      </w:r>
    </w:p>
    <w:p w14:paraId="6A178D3A">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（4）投标人未列入“供应（合作）商黑名单”且在公布期内。</w:t>
      </w:r>
    </w:p>
    <w:p w14:paraId="25C30BFC">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八、招标文件的获取</w:t>
      </w:r>
    </w:p>
    <w:p w14:paraId="6FC15CDE">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以投标网址要求为准</w:t>
      </w:r>
    </w:p>
    <w:p w14:paraId="71CF190C">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九、合同模板</w:t>
      </w:r>
    </w:p>
    <w:p w14:paraId="4323CC5F">
      <w:pPr>
        <w:keepNext w:val="0"/>
        <w:keepLines w:val="0"/>
        <w:pageBreakBefore w:val="0"/>
        <w:widowControl/>
        <w:suppressLineNumbers w:val="0"/>
        <w:kinsoku/>
        <w:overflowPunct/>
        <w:topLinePunct w:val="0"/>
        <w:autoSpaceDE/>
        <w:autoSpaceDN/>
        <w:bidi w:val="0"/>
        <w:adjustRightInd w:val="0"/>
        <w:snapToGrid w:val="0"/>
        <w:spacing w:line="360" w:lineRule="auto"/>
        <w:ind w:left="0" w:right="0" w:firstLine="480" w:firstLineChars="200"/>
        <w:jc w:val="left"/>
        <w:rPr>
          <w:rFonts w:hint="default"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详见</w:t>
      </w:r>
      <w:r>
        <w:rPr>
          <w:rFonts w:ascii="楷体" w:hAnsi="楷体" w:eastAsia="楷体" w:cs="楷体"/>
          <w:color w:val="auto"/>
          <w:kern w:val="0"/>
          <w:sz w:val="24"/>
          <w:szCs w:val="24"/>
          <w:highlight w:val="none"/>
          <w:lang w:val="en-US" w:eastAsia="zh-CN" w:bidi="ar"/>
        </w:rPr>
        <w:t>见附件</w:t>
      </w:r>
      <w:r>
        <w:rPr>
          <w:rFonts w:hint="eastAsia" w:ascii="楷体" w:hAnsi="楷体" w:eastAsia="楷体" w:cs="楷体"/>
          <w:color w:val="auto"/>
          <w:kern w:val="0"/>
          <w:sz w:val="24"/>
          <w:szCs w:val="24"/>
          <w:highlight w:val="none"/>
          <w:lang w:val="en-US" w:eastAsia="zh-CN" w:bidi="ar"/>
        </w:rPr>
        <w:t>三</w:t>
      </w:r>
    </w:p>
    <w:p w14:paraId="78D1865A">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十、投标事宜</w:t>
      </w:r>
    </w:p>
    <w:p w14:paraId="5AE81731">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投标开始时间：2026年3月31日08时30分</w:t>
      </w:r>
    </w:p>
    <w:p w14:paraId="2F529441">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投标截止时间及开标时间：2026年4月8日10时00分</w:t>
      </w:r>
    </w:p>
    <w:p w14:paraId="5769F07C">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投标方式（请勿修改）：</w:t>
      </w:r>
    </w:p>
    <w:p w14:paraId="61DAB6BE">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（1）登录泽宇招标平台参与投标，详情见附件四。</w:t>
      </w:r>
    </w:p>
    <w:p w14:paraId="42B314CF">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（2）公司监管投标邮箱：zeyuzhaobiao@zeyu99.com</w:t>
      </w:r>
      <w:bookmarkStart w:id="0" w:name="_GoBack"/>
      <w:bookmarkEnd w:id="0"/>
    </w:p>
    <w:p w14:paraId="26C469FE">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left"/>
        <w:textAlignment w:val="auto"/>
        <w:rPr>
          <w:rFonts w:hint="default" w:ascii="楷体" w:hAnsi="楷体" w:eastAsia="楷体" w:cs="楷体"/>
          <w:i w:val="0"/>
          <w:iCs w:val="0"/>
          <w:caps w:val="0"/>
          <w:color w:val="auto"/>
          <w:spacing w:val="0"/>
          <w:sz w:val="24"/>
          <w:szCs w:val="24"/>
          <w:highlight w:val="none"/>
          <w:shd w:val="clear" w:fill="FFFFFF"/>
          <w:lang w:val="en-US" w:eastAsia="zh-CN"/>
        </w:rPr>
      </w:pPr>
      <w:r>
        <w:rPr>
          <w:rFonts w:hint="eastAsia" w:ascii="楷体" w:hAnsi="楷体" w:eastAsia="楷体" w:cs="楷体"/>
          <w:i w:val="0"/>
          <w:iCs w:val="0"/>
          <w:caps w:val="0"/>
          <w:color w:val="auto"/>
          <w:spacing w:val="0"/>
          <w:kern w:val="2"/>
          <w:sz w:val="24"/>
          <w:szCs w:val="24"/>
          <w:highlight w:val="none"/>
          <w:shd w:val="clear" w:fill="FFFFFF"/>
          <w:lang w:val="en-US" w:eastAsia="zh-CN" w:bidi="ar-SA"/>
        </w:rPr>
        <w:t>十一、</w:t>
      </w:r>
      <w:r>
        <w:rPr>
          <w:rFonts w:hint="eastAsia" w:ascii="楷体" w:hAnsi="楷体" w:eastAsia="楷体" w:cs="楷体"/>
          <w:color w:val="auto"/>
          <w:kern w:val="0"/>
          <w:sz w:val="24"/>
          <w:szCs w:val="24"/>
          <w:highlight w:val="none"/>
          <w:lang w:val="en-US" w:eastAsia="zh-CN" w:bidi="ar"/>
        </w:rPr>
        <w:t>联系人</w:t>
      </w:r>
    </w:p>
    <w:p w14:paraId="6B603060">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（1）招标咨询：王建梅</w:t>
      </w:r>
      <w:r>
        <w:rPr>
          <w:rFonts w:hint="eastAsia" w:ascii="楷体" w:hAnsi="楷体" w:eastAsia="楷体" w:cs="楷体"/>
          <w:b w:val="0"/>
          <w:bCs w:val="0"/>
          <w:color w:val="auto"/>
          <w:kern w:val="0"/>
          <w:sz w:val="24"/>
          <w:szCs w:val="24"/>
          <w:highlight w:val="none"/>
          <w:lang w:val="en-US" w:eastAsia="zh-CN" w:bidi="ar"/>
        </w:rPr>
        <w:t>051385359892</w:t>
      </w:r>
    </w:p>
    <w:p w14:paraId="2E6AEB29">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default"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（2）项目技术咨询：朱福荣 13325589448</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DFD4EF"/>
    <w:multiLevelType w:val="singleLevel"/>
    <w:tmpl w:val="A1DFD4EF"/>
    <w:lvl w:ilvl="0" w:tentative="0">
      <w:start w:val="1"/>
      <w:numFmt w:val="decimal"/>
      <w:suff w:val="nothing"/>
      <w:lvlText w:val="%1．"/>
      <w:lvlJc w:val="left"/>
      <w:pPr>
        <w:ind w:left="0" w:firstLine="400"/>
      </w:pPr>
      <w:rPr>
        <w:rFonts w:hint="default"/>
      </w:rPr>
    </w:lvl>
  </w:abstractNum>
  <w:abstractNum w:abstractNumId="1">
    <w:nsid w:val="66AC52E0"/>
    <w:multiLevelType w:val="singleLevel"/>
    <w:tmpl w:val="66AC52E0"/>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FkZWYwOTkwMTkxMDU5Mjg5ODRkZTFmNWViOGQ4NDMifQ=="/>
  </w:docVars>
  <w:rsids>
    <w:rsidRoot w:val="2FAE0441"/>
    <w:rsid w:val="007774EF"/>
    <w:rsid w:val="0102504E"/>
    <w:rsid w:val="01390BCC"/>
    <w:rsid w:val="015A1A22"/>
    <w:rsid w:val="01DD74CD"/>
    <w:rsid w:val="037F55D4"/>
    <w:rsid w:val="043B4C86"/>
    <w:rsid w:val="0450243A"/>
    <w:rsid w:val="048F34AF"/>
    <w:rsid w:val="04E3334D"/>
    <w:rsid w:val="054C681E"/>
    <w:rsid w:val="05E732EC"/>
    <w:rsid w:val="08A60339"/>
    <w:rsid w:val="08CB1BEA"/>
    <w:rsid w:val="08F73CE9"/>
    <w:rsid w:val="095461F1"/>
    <w:rsid w:val="0A644BBD"/>
    <w:rsid w:val="0B9E2A3A"/>
    <w:rsid w:val="0C9703DB"/>
    <w:rsid w:val="0D833144"/>
    <w:rsid w:val="0E7D45F5"/>
    <w:rsid w:val="0F694010"/>
    <w:rsid w:val="0F7907AE"/>
    <w:rsid w:val="100174E6"/>
    <w:rsid w:val="107F0CA7"/>
    <w:rsid w:val="118C2D18"/>
    <w:rsid w:val="11BE5D26"/>
    <w:rsid w:val="121A5F70"/>
    <w:rsid w:val="13CA327C"/>
    <w:rsid w:val="14795AAD"/>
    <w:rsid w:val="14F87616"/>
    <w:rsid w:val="1571623B"/>
    <w:rsid w:val="17466FDC"/>
    <w:rsid w:val="176B2A68"/>
    <w:rsid w:val="17A436F5"/>
    <w:rsid w:val="187F6F14"/>
    <w:rsid w:val="198527A8"/>
    <w:rsid w:val="1B442393"/>
    <w:rsid w:val="1C0267F2"/>
    <w:rsid w:val="1C3B6992"/>
    <w:rsid w:val="1EAD26E0"/>
    <w:rsid w:val="1F833C2E"/>
    <w:rsid w:val="1FD654B5"/>
    <w:rsid w:val="200168AD"/>
    <w:rsid w:val="211D5A1F"/>
    <w:rsid w:val="21AB3C4E"/>
    <w:rsid w:val="2348178D"/>
    <w:rsid w:val="249A7480"/>
    <w:rsid w:val="256A4E4D"/>
    <w:rsid w:val="267B493A"/>
    <w:rsid w:val="276168BF"/>
    <w:rsid w:val="27977E2A"/>
    <w:rsid w:val="27DF29AC"/>
    <w:rsid w:val="287975FF"/>
    <w:rsid w:val="29997B5A"/>
    <w:rsid w:val="29F8580F"/>
    <w:rsid w:val="2A016B5D"/>
    <w:rsid w:val="2BCA6741"/>
    <w:rsid w:val="2C3F6D39"/>
    <w:rsid w:val="2CBA161E"/>
    <w:rsid w:val="2D6125AF"/>
    <w:rsid w:val="2DFA067E"/>
    <w:rsid w:val="2F2A5E74"/>
    <w:rsid w:val="2FAE0441"/>
    <w:rsid w:val="329A1F08"/>
    <w:rsid w:val="34D63EF6"/>
    <w:rsid w:val="35C25AD6"/>
    <w:rsid w:val="373D070E"/>
    <w:rsid w:val="38240928"/>
    <w:rsid w:val="396D3661"/>
    <w:rsid w:val="3AA701B6"/>
    <w:rsid w:val="3B37747B"/>
    <w:rsid w:val="3C1001A0"/>
    <w:rsid w:val="3C123918"/>
    <w:rsid w:val="3C6943E8"/>
    <w:rsid w:val="3C951B88"/>
    <w:rsid w:val="3DDC4EB4"/>
    <w:rsid w:val="3E79732C"/>
    <w:rsid w:val="40584611"/>
    <w:rsid w:val="40CF0C89"/>
    <w:rsid w:val="41BD66D4"/>
    <w:rsid w:val="450C5EBC"/>
    <w:rsid w:val="4655112D"/>
    <w:rsid w:val="46940C06"/>
    <w:rsid w:val="469564F9"/>
    <w:rsid w:val="4736309C"/>
    <w:rsid w:val="47392CA0"/>
    <w:rsid w:val="477511F9"/>
    <w:rsid w:val="49613FF0"/>
    <w:rsid w:val="49B26D3A"/>
    <w:rsid w:val="49B554CB"/>
    <w:rsid w:val="4A255A1C"/>
    <w:rsid w:val="4B542BF0"/>
    <w:rsid w:val="50530471"/>
    <w:rsid w:val="50652041"/>
    <w:rsid w:val="50737FE9"/>
    <w:rsid w:val="50D36797"/>
    <w:rsid w:val="51FA1DDD"/>
    <w:rsid w:val="53312FD1"/>
    <w:rsid w:val="535B4D34"/>
    <w:rsid w:val="54554E3E"/>
    <w:rsid w:val="54CF2F54"/>
    <w:rsid w:val="55CC5F93"/>
    <w:rsid w:val="55EF4AFC"/>
    <w:rsid w:val="55F312D4"/>
    <w:rsid w:val="56D60E68"/>
    <w:rsid w:val="57032983"/>
    <w:rsid w:val="57E776D1"/>
    <w:rsid w:val="5B256569"/>
    <w:rsid w:val="5B376455"/>
    <w:rsid w:val="5B7C6858"/>
    <w:rsid w:val="5C05719D"/>
    <w:rsid w:val="5D06275B"/>
    <w:rsid w:val="5D3F4F5B"/>
    <w:rsid w:val="5D5407E1"/>
    <w:rsid w:val="5D686163"/>
    <w:rsid w:val="5F36614D"/>
    <w:rsid w:val="5F8841C8"/>
    <w:rsid w:val="601212BD"/>
    <w:rsid w:val="61C94F22"/>
    <w:rsid w:val="6275772C"/>
    <w:rsid w:val="647D380E"/>
    <w:rsid w:val="6497295D"/>
    <w:rsid w:val="64CF17D9"/>
    <w:rsid w:val="64D8394A"/>
    <w:rsid w:val="64DA6466"/>
    <w:rsid w:val="67D6558E"/>
    <w:rsid w:val="6A673800"/>
    <w:rsid w:val="6BA844F3"/>
    <w:rsid w:val="6D317DF2"/>
    <w:rsid w:val="6F2469D0"/>
    <w:rsid w:val="701557A9"/>
    <w:rsid w:val="70B32E6B"/>
    <w:rsid w:val="72276EAD"/>
    <w:rsid w:val="726C3C42"/>
    <w:rsid w:val="729858EF"/>
    <w:rsid w:val="72DA05E4"/>
    <w:rsid w:val="738A1A97"/>
    <w:rsid w:val="739531D3"/>
    <w:rsid w:val="73B54BAD"/>
    <w:rsid w:val="73CB2083"/>
    <w:rsid w:val="74003722"/>
    <w:rsid w:val="74727416"/>
    <w:rsid w:val="74C33A28"/>
    <w:rsid w:val="758130FE"/>
    <w:rsid w:val="75F53987"/>
    <w:rsid w:val="780C189A"/>
    <w:rsid w:val="790277D6"/>
    <w:rsid w:val="7A1109A0"/>
    <w:rsid w:val="7A6D1508"/>
    <w:rsid w:val="7A7840E6"/>
    <w:rsid w:val="7AB94C23"/>
    <w:rsid w:val="7B0F32BD"/>
    <w:rsid w:val="7B8A781D"/>
    <w:rsid w:val="7C031D68"/>
    <w:rsid w:val="7C956BEC"/>
    <w:rsid w:val="7E3533AF"/>
    <w:rsid w:val="7F4D30D3"/>
    <w:rsid w:val="7F694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adjustRightInd w:val="0"/>
      <w:snapToGrid w:val="0"/>
      <w:spacing w:line="360" w:lineRule="auto"/>
      <w:ind w:firstLine="0" w:firstLineChars="0"/>
      <w:jc w:val="center"/>
      <w:textAlignment w:val="baseline"/>
      <w:outlineLvl w:val="0"/>
    </w:pPr>
    <w:rPr>
      <w:rFonts w:ascii="Arial" w:hAnsi="Arial" w:eastAsia="宋体" w:cstheme="minorBidi"/>
      <w:b/>
      <w:kern w:val="44"/>
      <w:sz w:val="36"/>
      <w:szCs w:val="20"/>
      <w:lang w:eastAsia="zh-CN" w:bidi="ar-SA"/>
    </w:rPr>
  </w:style>
  <w:style w:type="paragraph" w:styleId="3">
    <w:name w:val="heading 2"/>
    <w:basedOn w:val="1"/>
    <w:next w:val="1"/>
    <w:unhideWhenUsed/>
    <w:qFormat/>
    <w:uiPriority w:val="9"/>
    <w:pPr>
      <w:keepNext/>
      <w:keepLines/>
      <w:spacing w:before="200"/>
      <w:outlineLvl w:val="1"/>
    </w:pPr>
    <w:rPr>
      <w:rFonts w:asciiTheme="majorHAnsi" w:hAnsiTheme="majorHAnsi" w:eastAsiaTheme="majorEastAsia" w:cstheme="majorBidi"/>
      <w:b/>
      <w:bCs/>
      <w:color w:val="000000"/>
      <w:sz w:val="26"/>
      <w:szCs w:val="26"/>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0"/>
    <w:pPr>
      <w:spacing w:after="120"/>
    </w:pPr>
    <w:rPr>
      <w:rFonts w:ascii="Times New Roman" w:hAnsi="Times New Roman"/>
      <w:sz w:val="20"/>
      <w:szCs w:val="24"/>
      <w:lang w:val="zh-CN" w:eastAsia="zh-CN" w:bidi="ar-SA"/>
    </w:rPr>
  </w:style>
  <w:style w:type="paragraph" w:styleId="6">
    <w:name w:val="Body Text Indent 2"/>
    <w:basedOn w:val="1"/>
    <w:qFormat/>
    <w:uiPriority w:val="0"/>
    <w:pPr>
      <w:ind w:firstLine="570"/>
      <w:jc w:val="both"/>
    </w:pPr>
    <w:rPr>
      <w:rFonts w:ascii="宋体"/>
      <w:sz w:val="28"/>
    </w:rPr>
  </w:style>
  <w:style w:type="paragraph" w:styleId="7">
    <w:name w:val="List"/>
    <w:basedOn w:val="1"/>
    <w:next w:val="8"/>
    <w:unhideWhenUsed/>
    <w:qFormat/>
    <w:uiPriority w:val="0"/>
    <w:pPr>
      <w:wordWrap w:val="0"/>
      <w:ind w:left="200" w:hanging="200" w:hangingChars="200"/>
      <w:contextualSpacing/>
    </w:pPr>
    <w:rPr>
      <w:rFonts w:ascii="Times New Roman" w:hAnsi="Times New Roman" w:eastAsia="宋体" w:cs="Times New Roman"/>
      <w:color w:val="000000"/>
      <w:sz w:val="28"/>
      <w:szCs w:val="24"/>
    </w:rPr>
  </w:style>
  <w:style w:type="paragraph" w:customStyle="1" w:styleId="8">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table" w:styleId="10">
    <w:name w:val="Table Grid"/>
    <w:basedOn w:val="9"/>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2">
    <w:name w:val="Strong"/>
    <w:basedOn w:val="11"/>
    <w:qFormat/>
    <w:uiPriority w:val="0"/>
    <w:rPr>
      <w:b/>
    </w:rPr>
  </w:style>
  <w:style w:type="paragraph" w:customStyle="1" w:styleId="13">
    <w:name w:val="Table Text"/>
    <w:basedOn w:val="1"/>
    <w:semiHidden/>
    <w:qFormat/>
    <w:uiPriority w:val="0"/>
    <w:rPr>
      <w:rFonts w:ascii="等线" w:hAnsi="等线" w:eastAsia="等线" w:cs="等线"/>
      <w:sz w:val="20"/>
      <w:szCs w:val="20"/>
      <w:lang w:val="en-US" w:eastAsia="en-US" w:bidi="ar-SA"/>
    </w:rPr>
  </w:style>
  <w:style w:type="table" w:customStyle="1" w:styleId="1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3658</Words>
  <Characters>3951</Characters>
  <Lines>0</Lines>
  <Paragraphs>0</Paragraphs>
  <TotalTime>3</TotalTime>
  <ScaleCrop>false</ScaleCrop>
  <LinksUpToDate>false</LinksUpToDate>
  <CharactersWithSpaces>3970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2025-06-01T07:49:00Z</dcterms:created>
  <dc:creator>朱福荣</dc:creator>
  <cp:lastModifiedBy>Rita</cp:lastModifiedBy>
  <cp:lastPrinted>2025-06-04T12:58:00Z</cp:lastPrinted>
  <dcterms:modified xsi:type="dcterms:W3CDTF">2026-03-30T07:37:23Z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6E5312DF48394924B34C330138615066_13</vt:lpwstr>
  </property>
  <property fmtid="{D5CDD505-2E9C-101B-9397-08002B2CF9AE}" pid="4" name="KSOTemplateDocerSaveRecord">
    <vt:lpwstr>eyJoZGlkIjoiNzNjNzY3YmZkODljZTE4MzE0MWU0MmZlMTA3ZmEyMzIiLCJ1c2VySWQiOiI4MDk4MzkyMTgifQ==</vt:lpwstr>
  </property>
</Properties>
</file>